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BE3B4">
      <w:pPr>
        <w:spacing w:before="156" w:after="156"/>
        <w:ind w:firstLine="0" w:firstLineChars="0"/>
        <w:rPr>
          <w:rFonts w:hint="default" w:eastAsia="宋体" w:cs="Times New Roman"/>
          <w:lang w:val="en-US" w:eastAsia="zh-CN"/>
        </w:rPr>
      </w:pPr>
      <w:r>
        <w:rPr>
          <w:rFonts w:cs="Times New Roman"/>
        </w:rPr>
        <w:t>证券代码：300436</w:t>
      </w:r>
      <w:r>
        <w:rPr>
          <w:rFonts w:cs="Times New Roman"/>
        </w:rPr>
        <w:tab/>
      </w:r>
      <w:r>
        <w:rPr>
          <w:rFonts w:cs="Times New Roman"/>
        </w:rPr>
        <w:tab/>
      </w:r>
      <w:r>
        <w:rPr>
          <w:rFonts w:cs="Times New Roman"/>
        </w:rPr>
        <w:tab/>
      </w:r>
      <w:r>
        <w:rPr>
          <w:rFonts w:hint="eastAsia" w:cs="Times New Roman"/>
          <w:lang w:val="en-US" w:eastAsia="zh-CN"/>
        </w:rPr>
        <w:t xml:space="preserve">    </w:t>
      </w:r>
      <w:r>
        <w:rPr>
          <w:rFonts w:cs="Times New Roman"/>
        </w:rPr>
        <w:tab/>
      </w:r>
      <w:r>
        <w:rPr>
          <w:rFonts w:hint="eastAsia" w:cs="Times New Roman"/>
          <w:lang w:val="en-US" w:eastAsia="zh-CN"/>
        </w:rPr>
        <w:t xml:space="preserve"> </w:t>
      </w:r>
      <w:r>
        <w:rPr>
          <w:rFonts w:cs="Times New Roman"/>
        </w:rPr>
        <w:t>证券简称：</w:t>
      </w:r>
      <w:r>
        <w:rPr>
          <w:rFonts w:hint="eastAsia" w:cs="Times New Roman"/>
        </w:rPr>
        <w:t>广生堂</w:t>
      </w:r>
      <w:r>
        <w:rPr>
          <w:rFonts w:cs="Times New Roman"/>
        </w:rPr>
        <w:tab/>
      </w:r>
      <w:r>
        <w:rPr>
          <w:rFonts w:cs="Times New Roman"/>
        </w:rPr>
        <w:tab/>
      </w:r>
      <w:r>
        <w:rPr>
          <w:rFonts w:hint="eastAsia" w:cs="Times New Roman"/>
          <w:lang w:val="en-US" w:eastAsia="zh-CN"/>
        </w:rPr>
        <w:t xml:space="preserve"> </w:t>
      </w:r>
      <w:r>
        <w:rPr>
          <w:rFonts w:cs="Times New Roman"/>
        </w:rPr>
        <w:tab/>
      </w:r>
      <w:r>
        <w:rPr>
          <w:rFonts w:hint="eastAsia" w:cs="Times New Roman"/>
          <w:lang w:val="en-US" w:eastAsia="zh-CN"/>
        </w:rPr>
        <w:t xml:space="preserve">  </w:t>
      </w:r>
      <w:bookmarkStart w:id="1" w:name="_GoBack"/>
      <w:bookmarkEnd w:id="1"/>
      <w:r>
        <w:rPr>
          <w:rFonts w:hint="eastAsia" w:cs="Times New Roman"/>
          <w:lang w:val="en-US" w:eastAsia="zh-CN"/>
        </w:rPr>
        <w:t xml:space="preserve"> </w:t>
      </w:r>
      <w:r>
        <w:rPr>
          <w:rFonts w:cs="Times New Roman"/>
        </w:rPr>
        <w:t>公告编号：2025</w:t>
      </w:r>
      <w:r>
        <w:rPr>
          <w:rFonts w:hint="eastAsia" w:cs="Times New Roman"/>
          <w:lang w:val="en-US" w:eastAsia="zh-CN"/>
        </w:rPr>
        <w:t>019</w:t>
      </w:r>
    </w:p>
    <w:p w14:paraId="0D6B2CA3">
      <w:pPr>
        <w:spacing w:before="156" w:after="156"/>
        <w:ind w:firstLine="0" w:firstLineChars="0"/>
        <w:jc w:val="center"/>
        <w:rPr>
          <w:rFonts w:cs="Times New Roman"/>
          <w:b/>
          <w:bCs w:val="0"/>
          <w:sz w:val="28"/>
          <w:szCs w:val="28"/>
        </w:rPr>
      </w:pPr>
      <w:r>
        <w:rPr>
          <w:rFonts w:hint="eastAsia" w:cs="Times New Roman"/>
          <w:b/>
          <w:bCs w:val="0"/>
          <w:sz w:val="28"/>
          <w:szCs w:val="28"/>
        </w:rPr>
        <w:t>福建广生堂药业</w:t>
      </w:r>
      <w:r>
        <w:rPr>
          <w:rFonts w:cs="Times New Roman"/>
          <w:b/>
          <w:bCs w:val="0"/>
          <w:sz w:val="28"/>
          <w:szCs w:val="28"/>
        </w:rPr>
        <w:t>股份有限公司</w:t>
      </w:r>
    </w:p>
    <w:p w14:paraId="1F927071">
      <w:pPr>
        <w:spacing w:before="156" w:after="156"/>
        <w:ind w:firstLine="0" w:firstLineChars="0"/>
        <w:jc w:val="center"/>
        <w:rPr>
          <w:rFonts w:cs="Times New Roman"/>
          <w:b/>
          <w:bCs w:val="0"/>
          <w:sz w:val="28"/>
          <w:szCs w:val="28"/>
        </w:rPr>
      </w:pPr>
      <w:r>
        <w:rPr>
          <w:rFonts w:hint="eastAsia" w:cs="Times New Roman"/>
          <w:b/>
          <w:bCs w:val="0"/>
          <w:sz w:val="28"/>
          <w:szCs w:val="28"/>
        </w:rPr>
        <w:t>关于向特定对象发行</w:t>
      </w:r>
      <w:r>
        <w:rPr>
          <w:rFonts w:cs="Times New Roman"/>
          <w:b/>
          <w:bCs w:val="0"/>
          <w:sz w:val="28"/>
          <w:szCs w:val="28"/>
        </w:rPr>
        <w:t>A</w:t>
      </w:r>
      <w:r>
        <w:rPr>
          <w:rFonts w:hint="eastAsia" w:cs="Times New Roman"/>
          <w:b/>
          <w:bCs w:val="0"/>
          <w:sz w:val="28"/>
          <w:szCs w:val="28"/>
        </w:rPr>
        <w:t>股股票不存在直接或通过利益相关方</w:t>
      </w:r>
    </w:p>
    <w:p w14:paraId="639C1E30">
      <w:pPr>
        <w:spacing w:before="156" w:after="156"/>
        <w:ind w:firstLine="0" w:firstLineChars="0"/>
        <w:jc w:val="center"/>
        <w:rPr>
          <w:rFonts w:cs="Times New Roman"/>
          <w:b/>
          <w:bCs w:val="0"/>
          <w:sz w:val="28"/>
          <w:szCs w:val="28"/>
        </w:rPr>
      </w:pPr>
      <w:r>
        <w:rPr>
          <w:rFonts w:hint="eastAsia" w:cs="Times New Roman"/>
          <w:b/>
          <w:bCs w:val="0"/>
          <w:sz w:val="28"/>
          <w:szCs w:val="28"/>
        </w:rPr>
        <w:t>向参与认购的投资者提供财务资助或补偿的公告</w:t>
      </w:r>
    </w:p>
    <w:p w14:paraId="773F0162">
      <w:pPr>
        <w:spacing w:before="156" w:after="156"/>
        <w:ind w:firstLine="0" w:firstLineChars="0"/>
        <w:jc w:val="center"/>
        <w:rPr>
          <w:rFonts w:cs="Times New Roman"/>
          <w:b/>
          <w:bCs w:val="0"/>
        </w:rPr>
      </w:pPr>
      <w:r>
        <w:rPr>
          <w:rFonts w:cs="Times New Roman"/>
          <w:b/>
          <w:bCs w:val="0"/>
        </w:rPr>
        <mc:AlternateContent>
          <mc:Choice Requires="wps">
            <w:drawing>
              <wp:anchor distT="0" distB="0" distL="114300" distR="114300" simplePos="0" relativeHeight="251659264" behindDoc="0" locked="0" layoutInCell="1" allowOverlap="1">
                <wp:simplePos x="0" y="0"/>
                <wp:positionH relativeFrom="column">
                  <wp:posOffset>69850</wp:posOffset>
                </wp:positionH>
                <wp:positionV relativeFrom="paragraph">
                  <wp:posOffset>257175</wp:posOffset>
                </wp:positionV>
                <wp:extent cx="5486400" cy="812800"/>
                <wp:effectExtent l="0" t="0" r="19050" b="25400"/>
                <wp:wrapNone/>
                <wp:docPr id="1" name="文本框 1"/>
                <wp:cNvGraphicFramePr/>
                <a:graphic xmlns:a="http://schemas.openxmlformats.org/drawingml/2006/main">
                  <a:graphicData uri="http://schemas.microsoft.com/office/word/2010/wordprocessingShape">
                    <wps:wsp>
                      <wps:cNvSpPr txBox="1"/>
                      <wps:spPr>
                        <a:xfrm>
                          <a:off x="0" y="0"/>
                          <a:ext cx="5486400" cy="812800"/>
                        </a:xfrm>
                        <a:prstGeom prst="rect">
                          <a:avLst/>
                        </a:prstGeom>
                        <a:solidFill>
                          <a:schemeClr val="lt1"/>
                        </a:solidFill>
                        <a:ln w="6350">
                          <a:solidFill>
                            <a:prstClr val="black"/>
                          </a:solidFill>
                        </a:ln>
                      </wps:spPr>
                      <wps:txb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pt;margin-top:20.25pt;height:64pt;width:432pt;z-index:251659264;mso-width-relative:page;mso-height-relative:page;" fillcolor="#FFFFFF [3201]" filled="t" stroked="t" coordsize="21600,21600" o:gfxdata="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ajy6p1QAAAAkBAAAP&#10;AAAAAAAAAAEAIAAAACIAAABkcnMvZG93bnJldi54bWxQSwECFAAUAAAACACHTuJAANgDZFQCAAC3&#10;BAAADgAAAAAAAAABACAAAAAkAQAAZHJzL2Uyb0RvYy54bWxQSwUGAAAAAAYABgBZAQAA6gUAAAAA&#10;">
                <v:fill on="t" focussize="0,0"/>
                <v:stroke weight="0.5pt" color="#000000" joinstyle="round"/>
                <v:imagedata o:title=""/>
                <o:lock v:ext="edit" aspectratio="f"/>
                <v:textbo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v:textbox>
              </v:shape>
            </w:pict>
          </mc:Fallback>
        </mc:AlternateContent>
      </w:r>
    </w:p>
    <w:p w14:paraId="472506A9">
      <w:pPr>
        <w:spacing w:before="156" w:after="156"/>
        <w:ind w:firstLine="0" w:firstLineChars="0"/>
        <w:jc w:val="center"/>
        <w:rPr>
          <w:rFonts w:cs="Times New Roman"/>
          <w:b/>
          <w:bCs w:val="0"/>
        </w:rPr>
      </w:pPr>
    </w:p>
    <w:p w14:paraId="727D572F">
      <w:pPr>
        <w:spacing w:before="156" w:after="156"/>
        <w:ind w:firstLine="0" w:firstLineChars="0"/>
        <w:jc w:val="center"/>
        <w:rPr>
          <w:rFonts w:cs="Times New Roman"/>
          <w:b/>
          <w:bCs w:val="0"/>
        </w:rPr>
      </w:pPr>
    </w:p>
    <w:p w14:paraId="4D86A574">
      <w:pPr>
        <w:spacing w:before="156" w:after="156"/>
        <w:ind w:firstLine="0" w:firstLineChars="0"/>
        <w:jc w:val="center"/>
        <w:rPr>
          <w:rFonts w:cs="Times New Roman"/>
          <w:b/>
          <w:bCs w:val="0"/>
        </w:rPr>
      </w:pPr>
    </w:p>
    <w:p w14:paraId="50D55D36">
      <w:pPr>
        <w:spacing w:before="156" w:after="156"/>
        <w:ind w:firstLine="464"/>
        <w:rPr>
          <w:rFonts w:cs="Times New Roman"/>
          <w:spacing w:val="-4"/>
        </w:rPr>
      </w:pPr>
      <w:r>
        <w:rPr>
          <w:rFonts w:hint="eastAsia" w:cs="Times New Roman"/>
          <w:spacing w:val="-4"/>
        </w:rPr>
        <w:t>福建广生堂药业股份有限公司（以下简称“公司”）于</w:t>
      </w:r>
      <w:r>
        <w:rPr>
          <w:rFonts w:cs="Times New Roman"/>
          <w:spacing w:val="-4"/>
        </w:rPr>
        <w:t>2025</w:t>
      </w:r>
      <w:r>
        <w:rPr>
          <w:rFonts w:hint="eastAsia" w:cs="Times New Roman"/>
          <w:spacing w:val="-4"/>
        </w:rPr>
        <w:t>年</w:t>
      </w:r>
      <w:r>
        <w:rPr>
          <w:rFonts w:cs="Times New Roman"/>
          <w:spacing w:val="-4"/>
        </w:rPr>
        <w:t>4</w:t>
      </w:r>
      <w:r>
        <w:rPr>
          <w:rFonts w:hint="eastAsia" w:cs="Times New Roman"/>
          <w:spacing w:val="-4"/>
        </w:rPr>
        <w:t>月2日召开第五届董事会第七次会议并审议通过了</w:t>
      </w:r>
      <w:r>
        <w:rPr>
          <w:rFonts w:cs="Times New Roman"/>
          <w:spacing w:val="-4"/>
        </w:rPr>
        <w:t>2025</w:t>
      </w:r>
      <w:r>
        <w:rPr>
          <w:rFonts w:hint="eastAsia" w:cs="Times New Roman"/>
          <w:spacing w:val="-4"/>
        </w:rPr>
        <w:t>年度向特定对象发行</w:t>
      </w:r>
      <w:r>
        <w:rPr>
          <w:rFonts w:cs="Times New Roman"/>
          <w:spacing w:val="-4"/>
        </w:rPr>
        <w:t>A</w:t>
      </w:r>
      <w:r>
        <w:rPr>
          <w:rFonts w:hint="eastAsia" w:cs="Times New Roman"/>
          <w:spacing w:val="-4"/>
        </w:rPr>
        <w:t>股股票的相关议案，现就本次向特定对象发行</w:t>
      </w:r>
      <w:r>
        <w:rPr>
          <w:rFonts w:cs="Times New Roman"/>
          <w:spacing w:val="-4"/>
        </w:rPr>
        <w:t>A</w:t>
      </w:r>
      <w:r>
        <w:rPr>
          <w:rFonts w:hint="eastAsia" w:cs="Times New Roman"/>
          <w:spacing w:val="-4"/>
        </w:rPr>
        <w:t>股股票中，公司不存在直接或通过利益相关方向参与认购的投资者提供财务资助或补偿事宜承诺如下：</w:t>
      </w:r>
    </w:p>
    <w:p w14:paraId="6B15BAD9">
      <w:pPr>
        <w:spacing w:before="156" w:after="156"/>
        <w:ind w:firstLine="464"/>
        <w:rPr>
          <w:rFonts w:cs="Times New Roman"/>
          <w:spacing w:val="-4"/>
        </w:rPr>
      </w:pPr>
      <w:r>
        <w:rPr>
          <w:rFonts w:hint="eastAsia" w:cs="Times New Roman"/>
          <w:spacing w:val="-4"/>
        </w:rPr>
        <w:t>“公司不存在向参与认购的投资者作出保底保收益或变相保底保收益承诺的情形，亦不存在直接或通过利益相关方向参与认购的投资者提供任何财务资助或者补偿的情形。”</w:t>
      </w:r>
    </w:p>
    <w:p w14:paraId="2B07B5D2">
      <w:pPr>
        <w:spacing w:before="156" w:after="156"/>
        <w:ind w:firstLine="464"/>
        <w:rPr>
          <w:rFonts w:cs="Times New Roman"/>
          <w:spacing w:val="-4"/>
        </w:rPr>
      </w:pPr>
      <w:r>
        <w:rPr>
          <w:rFonts w:hint="eastAsia" w:cs="Times New Roman"/>
          <w:spacing w:val="-4"/>
        </w:rPr>
        <w:t>特此公告。</w:t>
      </w:r>
    </w:p>
    <w:p w14:paraId="5D455CBC">
      <w:pPr>
        <w:spacing w:before="156" w:after="156"/>
        <w:ind w:firstLine="464"/>
        <w:rPr>
          <w:rFonts w:cs="Times New Roman"/>
          <w:spacing w:val="-4"/>
        </w:rPr>
      </w:pPr>
    </w:p>
    <w:p w14:paraId="0D40CACF">
      <w:pPr>
        <w:spacing w:before="156" w:after="156"/>
        <w:ind w:firstLine="480"/>
        <w:jc w:val="right"/>
        <w:rPr>
          <w:rFonts w:cs="Times New Roman"/>
        </w:rPr>
      </w:pPr>
      <w:bookmarkStart w:id="0" w:name="_Hlk127976025"/>
      <w:r>
        <w:rPr>
          <w:rFonts w:hint="eastAsia" w:cs="Times New Roman"/>
        </w:rPr>
        <w:t>福建广生堂药业股份有限公司董事会</w:t>
      </w:r>
    </w:p>
    <w:p w14:paraId="09B11FA0">
      <w:pPr>
        <w:spacing w:before="156" w:after="156"/>
        <w:ind w:firstLine="460"/>
        <w:jc w:val="right"/>
        <w:rPr>
          <w:rFonts w:cs="Times New Roman"/>
        </w:rPr>
      </w:pPr>
      <w:r>
        <w:rPr>
          <w:rFonts w:cs="Times New Roman"/>
          <w:sz w:val="23"/>
          <w:szCs w:val="23"/>
        </w:rPr>
        <w:t>2025</w:t>
      </w:r>
      <w:r>
        <w:rPr>
          <w:rFonts w:hint="eastAsia" w:cs="Times New Roman"/>
          <w:sz w:val="23"/>
          <w:szCs w:val="23"/>
        </w:rPr>
        <w:t>年</w:t>
      </w:r>
      <w:r>
        <w:rPr>
          <w:rFonts w:cs="Times New Roman"/>
          <w:sz w:val="23"/>
          <w:szCs w:val="23"/>
        </w:rPr>
        <w:t>4</w:t>
      </w:r>
      <w:r>
        <w:rPr>
          <w:rFonts w:hint="eastAsia" w:cs="Times New Roman"/>
          <w:sz w:val="23"/>
          <w:szCs w:val="23"/>
        </w:rPr>
        <w:t>月2日</w:t>
      </w:r>
      <w:bookmarkEnd w:id="0"/>
    </w:p>
    <w:p w14:paraId="6CEAFD1B">
      <w:pPr>
        <w:spacing w:before="156" w:after="156"/>
        <w:ind w:firstLine="480"/>
        <w:rPr>
          <w:rFonts w:cs="Times New Roman"/>
          <w:bCs w:val="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37602-0414-4A75-8E76-200299516AF2}">
  <ds:schemaRefs/>
</ds:datastoreItem>
</file>